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4FFFE6">
      <w:pPr>
        <w:pStyle w:val="2"/>
        <w:jc w:val="center"/>
      </w:pPr>
      <w:bookmarkStart w:id="0" w:name="北成芳满庭小区负一层非机动车车库视频监控系统工程招标公告"/>
      <w:r>
        <w:t>北成芳满庭小区负一层非机动车车库视频监控系统工程招标公告</w:t>
      </w:r>
      <w:bookmarkEnd w:id="0"/>
    </w:p>
    <w:p w14:paraId="3251FFAC">
      <w:pPr>
        <w:pStyle w:val="23"/>
        <w:ind w:firstLine="480" w:firstLineChars="200"/>
      </w:pPr>
      <w:r>
        <w:t>北成芳满庭小区负一层非机动车车库视频监控系统项目方案已于2026年10月26日至11月1日在本小区公示，公示期内未收到20%以上业主书面反对意见。现公开招标，择优确定施工单位，欢迎符合条件的投标人参加。</w:t>
      </w:r>
    </w:p>
    <w:p w14:paraId="76EC0E16">
      <w:pPr>
        <w:pStyle w:val="4"/>
      </w:pPr>
      <w:bookmarkStart w:id="1" w:name="一项目概况"/>
      <w:r>
        <w:t>一、项目概况</w:t>
      </w:r>
      <w:bookmarkEnd w:id="1"/>
    </w:p>
    <w:p w14:paraId="6D77EC5D">
      <w:pPr>
        <w:pStyle w:val="24"/>
        <w:numPr>
          <w:ilvl w:val="0"/>
          <w:numId w:val="1"/>
        </w:numPr>
      </w:pPr>
      <w:r>
        <w:rPr>
          <w:b/>
        </w:rPr>
        <w:t>项目名称</w:t>
      </w:r>
      <w:r>
        <w:t>：北成芳满庭小区负一层非机动车车库视频监控系统工程。</w:t>
      </w:r>
    </w:p>
    <w:p w14:paraId="4ECA31AF">
      <w:pPr>
        <w:pStyle w:val="24"/>
        <w:numPr>
          <w:ilvl w:val="0"/>
          <w:numId w:val="1"/>
        </w:numPr>
      </w:pPr>
      <w:r>
        <w:rPr>
          <w:b/>
        </w:rPr>
        <w:t>项目地点</w:t>
      </w:r>
      <w:r>
        <w:t>：杭州市余杭区仁和街道北成芳满庭小区。</w:t>
      </w:r>
    </w:p>
    <w:p w14:paraId="34BBF073">
      <w:pPr>
        <w:pStyle w:val="24"/>
        <w:numPr>
          <w:ilvl w:val="0"/>
          <w:numId w:val="1"/>
        </w:numPr>
      </w:pPr>
      <w:r>
        <w:rPr>
          <w:b/>
        </w:rPr>
        <w:t>建设内容</w:t>
      </w:r>
      <w:r>
        <w:t>：非机动车车库视频监控系统建设，含网络摄像机、收发器、交换机、电源等设备的供货、运输、安装、布线、调试、验收、培训及质保售后。</w:t>
      </w:r>
    </w:p>
    <w:p w14:paraId="51860C82">
      <w:pPr>
        <w:pStyle w:val="24"/>
        <w:numPr>
          <w:ilvl w:val="0"/>
          <w:numId w:val="1"/>
        </w:numPr>
      </w:pPr>
      <w:r>
        <w:rPr>
          <w:b/>
        </w:rPr>
        <w:t>资金来源</w:t>
      </w:r>
      <w:r>
        <w:t>：小区公共收益。</w:t>
      </w:r>
    </w:p>
    <w:p w14:paraId="6022ACEA">
      <w:pPr>
        <w:pStyle w:val="24"/>
        <w:numPr>
          <w:ilvl w:val="0"/>
          <w:numId w:val="1"/>
        </w:numPr>
      </w:pPr>
      <w:r>
        <w:rPr>
          <w:b/>
        </w:rPr>
        <w:t>工期要求</w:t>
      </w:r>
      <w:r>
        <w:t>：合同签订后25日历天内完工并通过竣工验收。</w:t>
      </w:r>
    </w:p>
    <w:p w14:paraId="773DC687">
      <w:pPr>
        <w:pStyle w:val="24"/>
        <w:numPr>
          <w:ilvl w:val="0"/>
          <w:numId w:val="1"/>
        </w:numPr>
      </w:pPr>
      <w:r>
        <w:rPr>
          <w:b/>
        </w:rPr>
        <w:t>现场踏勘</w:t>
      </w:r>
      <w:r>
        <w:t>：不组织集中踏勘。投标人可提前联系小区物业，由物业带领下现场踏勘；未踏勘者视为已充分了解现场情况及风险。</w:t>
      </w:r>
    </w:p>
    <w:p w14:paraId="10143061">
      <w:pPr>
        <w:pStyle w:val="4"/>
      </w:pPr>
      <w:bookmarkStart w:id="2" w:name="二限价与报价"/>
      <w:r>
        <w:t>二、限价与报价</w:t>
      </w:r>
      <w:bookmarkEnd w:id="2"/>
    </w:p>
    <w:p w14:paraId="62202FB1">
      <w:pPr>
        <w:pStyle w:val="24"/>
        <w:numPr>
          <w:ilvl w:val="0"/>
          <w:numId w:val="2"/>
        </w:numPr>
      </w:pPr>
      <w:r>
        <w:rPr>
          <w:b/>
        </w:rPr>
        <w:t>最高限价：5万元以下（不含5万元）</w:t>
      </w:r>
      <w:r>
        <w:t>，报价不得低于成本价。</w:t>
      </w:r>
    </w:p>
    <w:p w14:paraId="2EA35F5A">
      <w:pPr>
        <w:pStyle w:val="24"/>
        <w:numPr>
          <w:ilvl w:val="0"/>
          <w:numId w:val="2"/>
        </w:numPr>
      </w:pPr>
      <w:r>
        <w:t>报价为</w:t>
      </w:r>
      <w:r>
        <w:rPr>
          <w:b/>
        </w:rPr>
        <w:t>总价包干</w:t>
      </w:r>
      <w:r>
        <w:t>，含设备、材料、人工、运输、辅材、税费、调试、验收、质保、保险等全部费用；除书面工程变更签证外，合同期内不因市场、材料价格等因素增加费用。</w:t>
      </w:r>
    </w:p>
    <w:p w14:paraId="4B342ED6">
      <w:pPr>
        <w:pStyle w:val="24"/>
        <w:numPr>
          <w:ilvl w:val="0"/>
          <w:numId w:val="2"/>
        </w:numPr>
      </w:pPr>
      <w:r>
        <w:t>报价清单须按招标人发布的格式填写，擅自改变格式者按废标处理。</w:t>
      </w:r>
    </w:p>
    <w:p w14:paraId="460687A3">
      <w:pPr>
        <w:pStyle w:val="24"/>
        <w:numPr>
          <w:ilvl w:val="0"/>
          <w:numId w:val="2"/>
        </w:numPr>
      </w:pPr>
      <w:r>
        <w:t>经评审认为报价明显低于成本价、不能合理说明的，作废标处理。</w:t>
      </w:r>
    </w:p>
    <w:p w14:paraId="6F49B93E">
      <w:pPr>
        <w:pStyle w:val="4"/>
      </w:pPr>
      <w:bookmarkStart w:id="3" w:name="三投标人资格"/>
      <w:r>
        <w:t>三、投标人资格</w:t>
      </w:r>
      <w:bookmarkEnd w:id="3"/>
    </w:p>
    <w:p w14:paraId="2FF0D04B">
      <w:pPr>
        <w:pStyle w:val="24"/>
        <w:numPr>
          <w:ilvl w:val="0"/>
          <w:numId w:val="3"/>
        </w:numPr>
        <w:tabs>
          <w:tab w:val="left" w:pos="0"/>
        </w:tabs>
      </w:pPr>
      <w:r>
        <w:t>具有独立法人资格；</w:t>
      </w:r>
    </w:p>
    <w:p w14:paraId="2AC69987">
      <w:pPr>
        <w:pStyle w:val="24"/>
        <w:numPr>
          <w:ilvl w:val="0"/>
          <w:numId w:val="3"/>
        </w:numPr>
        <w:tabs>
          <w:tab w:val="left" w:pos="0"/>
        </w:tabs>
      </w:pPr>
      <w:r>
        <w:t>近2年内至少有1个同类（小区/园区视频监控）项目业绩；</w:t>
      </w:r>
    </w:p>
    <w:p w14:paraId="09F6092E">
      <w:pPr>
        <w:pStyle w:val="24"/>
        <w:numPr>
          <w:ilvl w:val="0"/>
          <w:numId w:val="3"/>
        </w:numPr>
        <w:tabs>
          <w:tab w:val="left" w:pos="0"/>
        </w:tabs>
      </w:pPr>
      <w:r>
        <w:t>具备履行合同所需的技术、设备、人员能力；</w:t>
      </w:r>
    </w:p>
    <w:p w14:paraId="7EC6CE2F">
      <w:pPr>
        <w:pStyle w:val="24"/>
        <w:numPr>
          <w:ilvl w:val="0"/>
          <w:numId w:val="3"/>
        </w:numPr>
        <w:tabs>
          <w:tab w:val="left" w:pos="0"/>
        </w:tabs>
      </w:pPr>
      <w:r>
        <w:t>近三年无重大违法、失信及严重违约记录。</w:t>
      </w:r>
    </w:p>
    <w:p w14:paraId="414955F2">
      <w:pPr>
        <w:pStyle w:val="4"/>
      </w:pPr>
      <w:bookmarkStart w:id="4" w:name="四时间安排"/>
      <w:r>
        <w:t>四、时间安排</w:t>
      </w:r>
      <w:bookmarkEnd w:id="4"/>
    </w:p>
    <w:p w14:paraId="3F92B48D">
      <w:pPr>
        <w:pStyle w:val="24"/>
        <w:numPr>
          <w:ilvl w:val="0"/>
          <w:numId w:val="2"/>
        </w:numPr>
      </w:pPr>
      <w:r>
        <w:t>公告发布</w:t>
      </w:r>
      <w:r>
        <w:rPr>
          <w:rFonts w:hint="eastAsia" w:eastAsia="宋体"/>
          <w:lang w:val="en-US" w:eastAsia="zh-CN"/>
        </w:rPr>
        <w:t>及截止时间</w:t>
      </w:r>
      <w:r>
        <w:t>：</w:t>
      </w:r>
      <w:r>
        <w:rPr>
          <w:b/>
        </w:rPr>
        <w:t>2026年11月</w:t>
      </w:r>
      <w:r>
        <w:rPr>
          <w:rFonts w:hint="eastAsia" w:eastAsia="宋体"/>
          <w:b/>
          <w:lang w:val="en-US" w:eastAsia="zh-CN"/>
        </w:rPr>
        <w:t>4</w:t>
      </w:r>
      <w:r>
        <w:rPr>
          <w:b/>
        </w:rPr>
        <w:t>日</w:t>
      </w:r>
      <w:r>
        <w:rPr>
          <w:rFonts w:hint="eastAsia" w:eastAsia="宋体"/>
          <w:b/>
          <w:lang w:val="en-US" w:eastAsia="zh-CN"/>
        </w:rPr>
        <w:t>-11月11日17:00</w:t>
      </w:r>
    </w:p>
    <w:p w14:paraId="76683B04">
      <w:pPr>
        <w:pStyle w:val="24"/>
        <w:numPr>
          <w:ilvl w:val="0"/>
          <w:numId w:val="2"/>
        </w:numPr>
      </w:pPr>
      <w:r>
        <w:t>递交地点：北成芳满庭小区业委会办公室；</w:t>
      </w:r>
    </w:p>
    <w:p w14:paraId="438847FB">
      <w:pPr>
        <w:pStyle w:val="24"/>
        <w:numPr>
          <w:ilvl w:val="0"/>
          <w:numId w:val="2"/>
        </w:numPr>
      </w:pPr>
      <w:r>
        <w:t>开标时间：另行通知（需组织业委会成员共同空闲时间进行开标）；</w:t>
      </w:r>
    </w:p>
    <w:p w14:paraId="2EB7837E">
      <w:pPr>
        <w:pStyle w:val="24"/>
        <w:numPr>
          <w:ilvl w:val="0"/>
          <w:numId w:val="2"/>
        </w:numPr>
      </w:pPr>
      <w:r>
        <w:t>招标文件及附件下载：小区官网 bcfmt.yzzzt.cc 最新公告处。</w:t>
      </w:r>
    </w:p>
    <w:p w14:paraId="4E07912A">
      <w:pPr>
        <w:pStyle w:val="23"/>
      </w:pPr>
      <w:r>
        <w:rPr>
          <w:b/>
        </w:rPr>
        <w:t>说明</w:t>
      </w:r>
      <w:r>
        <w:t>：投标截止时间前收到的投标文件少于3个的，依法重新组织招标。</w:t>
      </w:r>
    </w:p>
    <w:p w14:paraId="5A58C7CA">
      <w:pPr>
        <w:pStyle w:val="4"/>
      </w:pPr>
      <w:bookmarkStart w:id="5" w:name="五投标文件"/>
      <w:r>
        <w:t>五、投标文件</w:t>
      </w:r>
      <w:bookmarkEnd w:id="5"/>
    </w:p>
    <w:p w14:paraId="55B30D83">
      <w:pPr>
        <w:pStyle w:val="23"/>
      </w:pPr>
      <w:r>
        <w:t>装订成册、加盖公章并由法定代表人或授权代表签字，正本壹份、副本贰份，正副本不一致时以正本为准。内容包括：</w:t>
      </w:r>
    </w:p>
    <w:p w14:paraId="0BEE8758">
      <w:pPr>
        <w:pStyle w:val="24"/>
        <w:numPr>
          <w:ilvl w:val="0"/>
          <w:numId w:val="4"/>
        </w:numPr>
        <w:tabs>
          <w:tab w:val="left" w:pos="0"/>
        </w:tabs>
      </w:pPr>
      <w:r>
        <w:t>投标函；</w:t>
      </w:r>
    </w:p>
    <w:p w14:paraId="3075579F">
      <w:pPr>
        <w:pStyle w:val="24"/>
        <w:numPr>
          <w:ilvl w:val="0"/>
          <w:numId w:val="4"/>
        </w:numPr>
        <w:tabs>
          <w:tab w:val="left" w:pos="0"/>
        </w:tabs>
      </w:pPr>
      <w:r>
        <w:t>法定代表人身份证明或授权委托书；</w:t>
      </w:r>
    </w:p>
    <w:p w14:paraId="7719D5DD">
      <w:pPr>
        <w:pStyle w:val="24"/>
        <w:numPr>
          <w:ilvl w:val="0"/>
          <w:numId w:val="4"/>
        </w:numPr>
        <w:tabs>
          <w:tab w:val="left" w:pos="0"/>
        </w:tabs>
      </w:pPr>
      <w:r>
        <w:t>投标报价汇总表及分项报价明细表；</w:t>
      </w:r>
    </w:p>
    <w:p w14:paraId="02DFB305">
      <w:pPr>
        <w:pStyle w:val="24"/>
        <w:numPr>
          <w:ilvl w:val="0"/>
          <w:numId w:val="4"/>
        </w:numPr>
        <w:tabs>
          <w:tab w:val="left" w:pos="0"/>
        </w:tabs>
      </w:pPr>
      <w:r>
        <w:t>施工组织方案；</w:t>
      </w:r>
    </w:p>
    <w:p w14:paraId="53622D76">
      <w:pPr>
        <w:pStyle w:val="24"/>
        <w:numPr>
          <w:ilvl w:val="0"/>
          <w:numId w:val="4"/>
        </w:numPr>
        <w:tabs>
          <w:tab w:val="left" w:pos="0"/>
        </w:tabs>
      </w:pPr>
      <w:r>
        <w:t>售后服务及质保方案；</w:t>
      </w:r>
    </w:p>
    <w:p w14:paraId="31D5FDB3">
      <w:pPr>
        <w:pStyle w:val="24"/>
        <w:numPr>
          <w:ilvl w:val="0"/>
          <w:numId w:val="4"/>
        </w:numPr>
        <w:tabs>
          <w:tab w:val="left" w:pos="0"/>
        </w:tabs>
      </w:pPr>
      <w:r>
        <w:t>同类项目业绩（合同复印件）；</w:t>
      </w:r>
    </w:p>
    <w:p w14:paraId="5DA3DC78">
      <w:pPr>
        <w:pStyle w:val="24"/>
        <w:numPr>
          <w:ilvl w:val="0"/>
          <w:numId w:val="4"/>
        </w:numPr>
        <w:tabs>
          <w:tab w:val="left" w:pos="0"/>
        </w:tabs>
      </w:pPr>
      <w:r>
        <w:t>投标人承诺函。</w:t>
      </w:r>
    </w:p>
    <w:p w14:paraId="15386924">
      <w:pPr>
        <w:pStyle w:val="23"/>
      </w:pPr>
      <w:r>
        <w:rPr>
          <w:b/>
        </w:rPr>
        <w:t>投标有效期</w:t>
      </w:r>
      <w:r>
        <w:t>：自投标截止之日起90日历天。</w:t>
      </w:r>
    </w:p>
    <w:p w14:paraId="7B28417B">
      <w:pPr>
        <w:pStyle w:val="4"/>
      </w:pPr>
      <w:bookmarkStart w:id="6" w:name="六评标办法"/>
      <w:r>
        <w:t>六、评标办法</w:t>
      </w:r>
      <w:bookmarkEnd w:id="6"/>
    </w:p>
    <w:p w14:paraId="53ECA38D">
      <w:pPr>
        <w:pStyle w:val="23"/>
      </w:pPr>
      <w:r>
        <w:t>采用综合评分法，总分100分：</w:t>
      </w:r>
    </w:p>
    <w:tbl>
      <w:tblPr>
        <w:tblStyle w:val="28"/>
        <w:tblW w:w="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1"/>
        <w:gridCol w:w="670"/>
        <w:gridCol w:w="6295"/>
      </w:tblGrid>
      <w:tr w14:paraId="65D289E6"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F7C70EE">
            <w:pPr>
              <w:pStyle w:val="24"/>
              <w:jc w:val="left"/>
            </w:pPr>
            <w:r>
              <w:t>评分项目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F810C03">
            <w:pPr>
              <w:pStyle w:val="24"/>
              <w:jc w:val="left"/>
            </w:pPr>
            <w:r>
              <w:t>分值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7693807">
            <w:pPr>
              <w:pStyle w:val="24"/>
              <w:jc w:val="left"/>
            </w:pPr>
            <w:r>
              <w:t>评分要点</w:t>
            </w:r>
          </w:p>
        </w:tc>
      </w:tr>
      <w:tr w14:paraId="49CD2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B5EE28">
            <w:pPr>
              <w:pStyle w:val="24"/>
              <w:jc w:val="left"/>
            </w:pPr>
            <w:r>
              <w:t>投标报价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FF4940">
            <w:pPr>
              <w:pStyle w:val="24"/>
              <w:jc w:val="left"/>
            </w:pPr>
            <w:r>
              <w:t>40分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EF5469">
            <w:pPr>
              <w:pStyle w:val="24"/>
              <w:jc w:val="left"/>
            </w:pPr>
            <w:r>
              <w:t>以经评审的最低有效报价为基准价，其余报价按公式计算得分；低于成本价的报价作废标处理</w:t>
            </w:r>
          </w:p>
        </w:tc>
      </w:tr>
      <w:tr w14:paraId="13F06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3E60F9">
            <w:pPr>
              <w:pStyle w:val="24"/>
              <w:jc w:val="left"/>
            </w:pPr>
            <w:r>
              <w:t>技术方案与设备参数响应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BE3220">
            <w:pPr>
              <w:pStyle w:val="24"/>
              <w:jc w:val="left"/>
            </w:pPr>
            <w:r>
              <w:t>25分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EC15F4">
            <w:pPr>
              <w:pStyle w:val="24"/>
              <w:jc w:val="left"/>
            </w:pPr>
            <w:r>
              <w:t>技术方案完整、设备参数逐项响应、品牌型号明确</w:t>
            </w:r>
          </w:p>
        </w:tc>
      </w:tr>
      <w:tr w14:paraId="767EC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4DFAB3">
            <w:pPr>
              <w:pStyle w:val="24"/>
              <w:jc w:val="left"/>
            </w:pPr>
            <w:r>
              <w:t>同类项目业绩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20C5BE">
            <w:pPr>
              <w:pStyle w:val="24"/>
              <w:jc w:val="left"/>
            </w:pPr>
            <w:r>
              <w:t>15分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6882C5">
            <w:pPr>
              <w:pStyle w:val="24"/>
              <w:jc w:val="left"/>
            </w:pPr>
            <w:r>
              <w:t>近2年同类小区/园区监控项目数量及规模</w:t>
            </w:r>
          </w:p>
        </w:tc>
      </w:tr>
      <w:tr w14:paraId="35512D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041CB5">
            <w:pPr>
              <w:pStyle w:val="24"/>
              <w:jc w:val="left"/>
            </w:pPr>
            <w:r>
              <w:t>售后服务与质保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8AD8C4">
            <w:pPr>
              <w:pStyle w:val="24"/>
              <w:jc w:val="left"/>
            </w:pPr>
            <w:r>
              <w:t>15分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439A20">
            <w:pPr>
              <w:pStyle w:val="24"/>
              <w:jc w:val="left"/>
            </w:pPr>
            <w:r>
              <w:t>质保年限、故障响应时效、维保方案、备件保障</w:t>
            </w:r>
          </w:p>
        </w:tc>
      </w:tr>
      <w:tr w14:paraId="08455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EEDB0C">
            <w:pPr>
              <w:pStyle w:val="24"/>
              <w:jc w:val="left"/>
            </w:pPr>
            <w:r>
              <w:t>施工组织与安全文明施工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BA980D">
            <w:pPr>
              <w:pStyle w:val="24"/>
              <w:jc w:val="left"/>
            </w:pPr>
            <w:r>
              <w:t>5分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45AE40">
            <w:pPr>
              <w:pStyle w:val="24"/>
              <w:jc w:val="left"/>
            </w:pPr>
            <w:r>
              <w:t>施工组织、进度计划、安全文明施工方案</w:t>
            </w:r>
          </w:p>
        </w:tc>
      </w:tr>
    </w:tbl>
    <w:p w14:paraId="37FBA430">
      <w:pPr>
        <w:pStyle w:val="3"/>
      </w:pPr>
      <w:r>
        <w:t>评分排名第一者为中标候选人；若其放弃、因故不能履约或存在重大违规，可依次顺延确定中标人。</w:t>
      </w:r>
      <w:r>
        <w:rPr>
          <w:b/>
        </w:rPr>
        <w:t>中标结果另行公示。</w:t>
      </w:r>
    </w:p>
    <w:p w14:paraId="1A9C4ABA">
      <w:pPr>
        <w:pStyle w:val="4"/>
      </w:pPr>
      <w:bookmarkStart w:id="7" w:name="七技术要求"/>
      <w:r>
        <w:t>七、技术要求</w:t>
      </w:r>
      <w:bookmarkEnd w:id="7"/>
    </w:p>
    <w:p w14:paraId="2656AA4A">
      <w:pPr>
        <w:pStyle w:val="23"/>
      </w:pPr>
      <w:r>
        <w:t>设备清单共17类，主要包括：烟感报警摄像头10台、400万像素网络摄像机22台、光纤收发器11对、6T企业级监控硬盘8块、硬盘录像机1台、27寸显示器1台，以及超六类网线、光缆、POE交换机、监控支架、电源线等设备及辅材，含</w:t>
      </w:r>
      <w:r>
        <w:rPr>
          <w:b/>
        </w:rPr>
        <w:t>32点位</w:t>
      </w:r>
      <w:r>
        <w:t>安装调试。</w:t>
      </w:r>
    </w:p>
    <w:p w14:paraId="6DBF0ED5">
      <w:pPr>
        <w:pStyle w:val="3"/>
      </w:pPr>
      <w:r>
        <w:t>系统功能定位：用于</w:t>
      </w:r>
      <w:r>
        <w:rPr>
          <w:b/>
        </w:rPr>
        <w:t>安全溯源及火情预警</w:t>
      </w:r>
      <w:r>
        <w:t>（其中10台烟感报警摄像头具备火焰、烟雾、高温三重报警功能），录像存储满足30天要求。</w:t>
      </w:r>
    </w:p>
    <w:p w14:paraId="598B746D">
      <w:pPr>
        <w:pStyle w:val="3"/>
      </w:pPr>
      <w:r>
        <w:t>施工须服从小区物业现场管理，做好安全防护与成品保护，施工垃圾当日清理；竣工后提供监控点位图、系统拓扑图、设备清单、接线图、设备合格证及检测报告。中标人应对物业值班及管理人员进行操作培训。</w:t>
      </w:r>
    </w:p>
    <w:p w14:paraId="5F85A416">
      <w:pPr>
        <w:pStyle w:val="4"/>
      </w:pPr>
      <w:bookmarkStart w:id="8" w:name="八质量验收与付款"/>
      <w:r>
        <w:t>八、质量、验收</w:t>
      </w:r>
      <w:bookmarkEnd w:id="8"/>
    </w:p>
    <w:p w14:paraId="280EBF77">
      <w:pPr>
        <w:pStyle w:val="23"/>
      </w:pPr>
      <w:r>
        <w:rPr>
          <w:b/>
        </w:rPr>
        <w:t>质量标准</w:t>
      </w:r>
      <w:r>
        <w:t>：执行国家现行安全防范及视频监控工程技术规范（GB 55029-2022、GB 50348-2018、GB 50395-2007、GB 50198-2011），系统运行稳定，录像存储满足30天要求。</w:t>
      </w:r>
    </w:p>
    <w:p w14:paraId="722DFD26">
      <w:pPr>
        <w:pStyle w:val="3"/>
      </w:pPr>
      <w:r>
        <w:rPr>
          <w:b/>
        </w:rPr>
        <w:t>验收程序</w:t>
      </w:r>
      <w:r>
        <w:t>：设备到货验收 → 安装完成初验 → 系统试运行7天 → 竣工验收；验收不合格须限期免费整改，整改期间工期不予顺延。</w:t>
      </w:r>
    </w:p>
    <w:p w14:paraId="7E105016">
      <w:pPr>
        <w:pStyle w:val="4"/>
      </w:pPr>
      <w:bookmarkStart w:id="9" w:name="九质保与售后"/>
      <w:r>
        <w:t>九、质保与售后</w:t>
      </w:r>
      <w:bookmarkEnd w:id="9"/>
    </w:p>
    <w:p w14:paraId="30CBEA9E">
      <w:pPr>
        <w:pStyle w:val="23"/>
      </w:pPr>
      <w:r>
        <w:t>质保期自竣工验收合格之日起</w:t>
      </w:r>
      <w:r>
        <w:rPr>
          <w:b/>
        </w:rPr>
        <w:t>2年</w:t>
      </w:r>
      <w:r>
        <w:t>（且不低于设备厂家原厂质保期），期内设备故障免费维修、免费更换配件，免收人工费及配件费。接到报修后</w:t>
      </w:r>
      <w:r>
        <w:rPr>
          <w:b/>
        </w:rPr>
        <w:t>24小时内</w:t>
      </w:r>
      <w:r>
        <w:t>到场，紧急故障</w:t>
      </w:r>
      <w:r>
        <w:rPr>
          <w:b/>
        </w:rPr>
        <w:t>2小时内</w:t>
      </w:r>
      <w:r>
        <w:t>到场抢修。</w:t>
      </w:r>
    </w:p>
    <w:p w14:paraId="029E56A1">
      <w:pPr>
        <w:pStyle w:val="4"/>
      </w:pPr>
      <w:bookmarkStart w:id="10" w:name="十中标与合同"/>
      <w:r>
        <w:t>十、中标与合同</w:t>
      </w:r>
      <w:bookmarkEnd w:id="10"/>
    </w:p>
    <w:p w14:paraId="3034F16F">
      <w:pPr>
        <w:pStyle w:val="23"/>
      </w:pPr>
      <w:r>
        <w:t>评标结束后发出中标通知书，中标人应在收到通知书后</w:t>
      </w:r>
      <w:r>
        <w:rPr>
          <w:b/>
        </w:rPr>
        <w:t>5日内</w:t>
      </w:r>
      <w:r>
        <w:t>签订合同，不得转包或违法分包，承担施工期间全部安全责任。</w:t>
      </w:r>
    </w:p>
    <w:p w14:paraId="11624768">
      <w:pPr>
        <w:pStyle w:val="4"/>
        <w:numPr>
          <w:ilvl w:val="0"/>
          <w:numId w:val="5"/>
        </w:numPr>
      </w:pPr>
      <w:bookmarkStart w:id="11" w:name="十一联系方式"/>
      <w:r>
        <w:t>联系方式</w:t>
      </w:r>
      <w:bookmarkEnd w:id="11"/>
    </w:p>
    <w:p w14:paraId="6505FAB3">
      <w:pPr>
        <w:pStyle w:val="24"/>
        <w:numPr>
          <w:ilvl w:val="0"/>
          <w:numId w:val="2"/>
        </w:numPr>
      </w:pPr>
      <w:r>
        <w:t>联系人：吕强　13868048028（投标咨询）</w:t>
      </w:r>
    </w:p>
    <w:p w14:paraId="0C73AE20">
      <w:pPr>
        <w:pStyle w:val="24"/>
        <w:numPr>
          <w:ilvl w:val="0"/>
          <w:numId w:val="2"/>
        </w:numPr>
      </w:pPr>
      <w:r>
        <w:t>联系人：徐芬　16657795880（接收文件）</w:t>
      </w:r>
    </w:p>
    <w:p w14:paraId="6CE7C75C">
      <w:pPr>
        <w:pStyle w:val="24"/>
        <w:numPr>
          <w:ilvl w:val="0"/>
          <w:numId w:val="0"/>
        </w:numPr>
        <w:ind w:leftChars="0"/>
      </w:pPr>
    </w:p>
    <w:p w14:paraId="0ADC31D6">
      <w:pPr>
        <w:pStyle w:val="23"/>
        <w:jc w:val="right"/>
      </w:pPr>
      <w:r>
        <w:t>杭州市余杭区芳满庭第一届业主委员会</w:t>
      </w:r>
    </w:p>
    <w:p w14:paraId="7AB1688C">
      <w:pPr>
        <w:pStyle w:val="3"/>
        <w:jc w:val="right"/>
      </w:pPr>
      <w:bookmarkStart w:id="12" w:name="_GoBack"/>
      <w:bookmarkEnd w:id="12"/>
      <w:r>
        <w:t>2026年11月</w:t>
      </w:r>
      <w:r>
        <w:rPr>
          <w:rFonts w:hint="eastAsia" w:eastAsia="宋体"/>
          <w:lang w:val="en-US" w:eastAsia="zh-CN"/>
        </w:rPr>
        <w:t>3</w:t>
      </w:r>
      <w:r>
        <w:t>日</w:t>
      </w:r>
    </w:p>
    <w:sect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86"/>
    <w:family w:val="auto"/>
    <w:pitch w:val="default"/>
    <w:sig w:usb0="E00006FF" w:usb1="420024FF" w:usb2="02000000" w:usb3="00000000" w:csb0="2000019F" w:csb1="00000000"/>
  </w:font>
  <w:font w:name="Cambria">
    <w:panose1 w:val="02040503050406030204"/>
    <w:charset w:val="86"/>
    <w:family w:val="auto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320940"/>
    <w:multiLevelType w:val="multilevel"/>
    <w:tmpl w:val="94320940"/>
    <w:lvl w:ilvl="0" w:tentative="0">
      <w:start w:val="1"/>
      <w:numFmt w:val="decimal"/>
      <w:lvlText w:val="%1."/>
      <w:lvlJc w:val="left"/>
      <w:pPr>
        <w:tabs>
          <w:tab w:val="left" w:pos="0"/>
        </w:tabs>
        <w:ind w:left="480" w:hanging="480"/>
      </w:pPr>
    </w:lvl>
    <w:lvl w:ilvl="1" w:tentative="0">
      <w:start w:val="1"/>
      <w:numFmt w:val="decimal"/>
      <w:lvlText w:val="%2."/>
      <w:lvlJc w:val="left"/>
      <w:pPr>
        <w:tabs>
          <w:tab w:val="left" w:pos="720"/>
        </w:tabs>
        <w:ind w:left="1200" w:hanging="48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920" w:hanging="48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640" w:hanging="480"/>
      </w:pPr>
    </w:lvl>
    <w:lvl w:ilvl="4" w:tentative="0">
      <w:start w:val="1"/>
      <w:numFmt w:val="decimal"/>
      <w:lvlText w:val="%5."/>
      <w:lvlJc w:val="left"/>
      <w:pPr>
        <w:tabs>
          <w:tab w:val="left" w:pos="2880"/>
        </w:tabs>
        <w:ind w:left="3360" w:hanging="480"/>
      </w:pPr>
    </w:lvl>
    <w:lvl w:ilvl="5" w:tentative="0">
      <w:start w:val="1"/>
      <w:numFmt w:val="decimal"/>
      <w:lvlText w:val="%6."/>
      <w:lvlJc w:val="left"/>
      <w:pPr>
        <w:tabs>
          <w:tab w:val="left" w:pos="3600"/>
        </w:tabs>
        <w:ind w:left="4080" w:hanging="480"/>
      </w:pPr>
    </w:lvl>
    <w:lvl w:ilvl="6" w:tentative="0">
      <w:start w:val="1"/>
      <w:numFmt w:val="decimal"/>
      <w:lvlText w:val="%7."/>
      <w:lvlJc w:val="left"/>
      <w:pPr>
        <w:tabs>
          <w:tab w:val="left" w:pos="4320"/>
        </w:tabs>
        <w:ind w:left="4800" w:hanging="480"/>
      </w:pPr>
    </w:lvl>
    <w:lvl w:ilvl="7" w:tentative="0">
      <w:start w:val="1"/>
      <w:numFmt w:val="decimal"/>
      <w:lvlText w:val="%8."/>
      <w:lvlJc w:val="left"/>
      <w:pPr>
        <w:tabs>
          <w:tab w:val="left" w:pos="5040"/>
        </w:tabs>
        <w:ind w:left="5520" w:hanging="480"/>
      </w:pPr>
    </w:lvl>
    <w:lvl w:ilvl="8" w:tentative="0">
      <w:start w:val="1"/>
      <w:numFmt w:val="decimal"/>
      <w:lvlText w:val="%9."/>
      <w:lvlJc w:val="left"/>
      <w:pPr>
        <w:tabs>
          <w:tab w:val="left" w:pos="5760"/>
        </w:tabs>
        <w:ind w:left="6240" w:hanging="480"/>
      </w:pPr>
    </w:lvl>
  </w:abstractNum>
  <w:abstractNum w:abstractNumId="1">
    <w:nsid w:val="D9251107"/>
    <w:multiLevelType w:val="multilevel"/>
    <w:tmpl w:val="D9251107"/>
    <w:lvl w:ilvl="0" w:tentative="0">
      <w:start w:val="0"/>
      <w:numFmt w:val="bullet"/>
      <w:lvlText w:val="•"/>
      <w:lvlJc w:val="left"/>
      <w:pPr>
        <w:tabs>
          <w:tab w:val="left" w:pos="0"/>
        </w:tabs>
        <w:ind w:left="480" w:hanging="480"/>
      </w:pPr>
    </w:lvl>
    <w:lvl w:ilvl="1" w:tentative="0">
      <w:start w:val="0"/>
      <w:numFmt w:val="bullet"/>
      <w:lvlText w:val="–"/>
      <w:lvlJc w:val="left"/>
      <w:pPr>
        <w:tabs>
          <w:tab w:val="left" w:pos="720"/>
        </w:tabs>
        <w:ind w:left="1200" w:hanging="480"/>
      </w:pPr>
    </w:lvl>
    <w:lvl w:ilvl="2" w:tentative="0">
      <w:start w:val="0"/>
      <w:numFmt w:val="bullet"/>
      <w:lvlText w:val="•"/>
      <w:lvlJc w:val="left"/>
      <w:pPr>
        <w:tabs>
          <w:tab w:val="left" w:pos="1440"/>
        </w:tabs>
        <w:ind w:left="1920" w:hanging="480"/>
      </w:pPr>
    </w:lvl>
    <w:lvl w:ilvl="3" w:tentative="0">
      <w:start w:val="0"/>
      <w:numFmt w:val="bullet"/>
      <w:lvlText w:val="–"/>
      <w:lvlJc w:val="left"/>
      <w:pPr>
        <w:tabs>
          <w:tab w:val="left" w:pos="2160"/>
        </w:tabs>
        <w:ind w:left="2640" w:hanging="480"/>
      </w:pPr>
    </w:lvl>
    <w:lvl w:ilvl="4" w:tentative="0">
      <w:start w:val="0"/>
      <w:numFmt w:val="bullet"/>
      <w:lvlText w:val="•"/>
      <w:lvlJc w:val="left"/>
      <w:pPr>
        <w:tabs>
          <w:tab w:val="left" w:pos="2880"/>
        </w:tabs>
        <w:ind w:left="3360" w:hanging="480"/>
      </w:pPr>
    </w:lvl>
    <w:lvl w:ilvl="5" w:tentative="0">
      <w:start w:val="0"/>
      <w:numFmt w:val="bullet"/>
      <w:lvlText w:val="–"/>
      <w:lvlJc w:val="left"/>
      <w:pPr>
        <w:tabs>
          <w:tab w:val="left" w:pos="3600"/>
        </w:tabs>
        <w:ind w:left="4080" w:hanging="480"/>
      </w:pPr>
    </w:lvl>
    <w:lvl w:ilvl="6" w:tentative="0">
      <w:start w:val="0"/>
      <w:numFmt w:val="bullet"/>
      <w:lvlText w:val="•"/>
      <w:lvlJc w:val="left"/>
      <w:pPr>
        <w:tabs>
          <w:tab w:val="left" w:pos="4320"/>
        </w:tabs>
        <w:ind w:left="4800" w:hanging="480"/>
      </w:pPr>
    </w:lvl>
    <w:lvl w:ilvl="7" w:tentative="0">
      <w:start w:val="0"/>
      <w:numFmt w:val="bullet"/>
      <w:lvlText w:val="–"/>
      <w:lvlJc w:val="left"/>
      <w:pPr>
        <w:tabs>
          <w:tab w:val="left" w:pos="5040"/>
        </w:tabs>
        <w:ind w:left="5520" w:hanging="480"/>
      </w:pPr>
    </w:lvl>
    <w:lvl w:ilvl="8" w:tentative="0">
      <w:start w:val="0"/>
      <w:numFmt w:val="bullet"/>
      <w:lvlText w:val="•"/>
      <w:lvlJc w:val="left"/>
      <w:pPr>
        <w:tabs>
          <w:tab w:val="left" w:pos="5760"/>
        </w:tabs>
        <w:ind w:left="6240" w:hanging="480"/>
      </w:pPr>
    </w:lvl>
  </w:abstractNum>
  <w:abstractNum w:abstractNumId="2">
    <w:nsid w:val="75FC5C84"/>
    <w:multiLevelType w:val="singleLevel"/>
    <w:tmpl w:val="75FC5C84"/>
    <w:lvl w:ilvl="0" w:tentative="0">
      <w:start w:val="1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0"/>
    <w:footnote w:id="1"/>
  </w:footnotePr>
  <w:compat>
    <w:useFELayout/>
    <w:splitPgBreakAndParaMark/>
    <w:compatSetting w:name="compatibilityMode" w:uri="http://schemas.microsoft.com/office/word" w:val="12"/>
  </w:compat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  <w:rsid w:val="0A6F7722"/>
    <w:rsid w:val="14E9185B"/>
    <w:rsid w:val="6B5947EA"/>
    <w:rsid w:val="798073DC"/>
  </w:rsids>
  <m:mathPr>
    <m:mathFont m:val="Lucida Grande"/>
    <m:brkBin m:val="before"/>
    <m:brkBinSub m:val="--"/>
    <m:smallFrac m:val="0"/>
    <m:dispDef m:val="0"/>
    <m:lMargin m:val="0"/>
    <m:rMargin m:val="0"/>
    <m:defJc m:val="centerGroup"/>
    <m:wrapRight m:val="1"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35B8A" w:themeColor="accent1" w:themeShade="B5"/>
      <w:sz w:val="32"/>
      <w:szCs w:val="32"/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32"/>
      <w:szCs w:val="32"/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</w:rPr>
  </w:style>
  <w:style w:type="paragraph" w:styleId="6">
    <w:name w:val="heading 4"/>
    <w:basedOn w:val="1"/>
    <w:next w:val="3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color w:val="4F81BD" w:themeColor="accent1"/>
      <w:sz w:val="24"/>
      <w:szCs w:val="24"/>
    </w:rPr>
  </w:style>
  <w:style w:type="paragraph" w:styleId="7">
    <w:name w:val="heading 5"/>
    <w:basedOn w:val="1"/>
    <w:next w:val="3"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i/>
      <w:iCs/>
      <w:color w:val="4F81BD" w:themeColor="accent1"/>
      <w:sz w:val="24"/>
      <w:szCs w:val="24"/>
    </w:rPr>
  </w:style>
  <w:style w:type="paragraph" w:styleId="8">
    <w:name w:val="heading 6"/>
    <w:basedOn w:val="1"/>
    <w:next w:val="3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9">
    <w:name w:val="heading 7"/>
    <w:basedOn w:val="1"/>
    <w:next w:val="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10">
    <w:name w:val="heading 8"/>
    <w:basedOn w:val="1"/>
    <w:next w:val="3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11">
    <w:name w:val="heading 9"/>
    <w:basedOn w:val="1"/>
    <w:next w:val="3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character" w:default="1" w:styleId="19">
    <w:name w:val="Default Paragraph Font"/>
    <w:semiHidden/>
    <w:unhideWhenUsed/>
    <w:qFormat/>
    <w:uiPriority w:val="0"/>
  </w:style>
  <w:style w:type="table" w:default="1" w:styleId="18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1"/>
    <w:qFormat/>
    <w:uiPriority w:val="0"/>
    <w:pPr>
      <w:spacing w:before="180" w:after="180"/>
    </w:pPr>
  </w:style>
  <w:style w:type="paragraph" w:styleId="12">
    <w:name w:val="caption"/>
    <w:basedOn w:val="1"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firstLine="0"/>
    </w:pPr>
    <w:rPr>
      <w:rFonts w:asciiTheme="majorHAnsi" w:hAnsiTheme="majorHAnsi" w:eastAsiaTheme="majorEastAsia" w:cstheme="majorBidi"/>
      <w:bCs/>
      <w:sz w:val="20"/>
      <w:szCs w:val="20"/>
    </w:rPr>
  </w:style>
  <w:style w:type="paragraph" w:styleId="14">
    <w:name w:val="Date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15">
    <w:name w:val="Subtitle"/>
    <w:basedOn w:val="16"/>
    <w:next w:val="3"/>
    <w:qFormat/>
    <w:uiPriority w:val="0"/>
    <w:pPr>
      <w:keepNext/>
      <w:keepLines/>
      <w:spacing w:before="240" w:after="240"/>
      <w:jc w:val="center"/>
    </w:pPr>
    <w:rPr>
      <w:sz w:val="30"/>
      <w:szCs w:val="30"/>
    </w:rPr>
  </w:style>
  <w:style w:type="paragraph" w:styleId="16">
    <w:name w:val="Title"/>
    <w:basedOn w:val="1"/>
    <w:next w:val="3"/>
    <w:qFormat/>
    <w:uiPriority w:val="0"/>
    <w:pPr>
      <w:keepNext/>
      <w:keepLines/>
      <w:spacing w:before="480" w:after="240"/>
      <w:jc w:val="center"/>
    </w:pPr>
    <w:rPr>
      <w:rFonts w:asciiTheme="majorHAnsi" w:hAnsiTheme="majorHAnsi" w:eastAsiaTheme="majorEastAsia" w:cstheme="majorBidi"/>
      <w:b/>
      <w:bCs/>
      <w:color w:val="335B8A" w:themeColor="accent1" w:themeShade="B5"/>
      <w:sz w:val="36"/>
      <w:szCs w:val="36"/>
    </w:rPr>
  </w:style>
  <w:style w:type="paragraph" w:styleId="17">
    <w:name w:val="footnote text"/>
    <w:basedOn w:val="1"/>
    <w:unhideWhenUsed/>
    <w:qFormat/>
    <w:uiPriority w:val="9"/>
  </w:style>
  <w:style w:type="character" w:styleId="20">
    <w:name w:val="Hyperlink"/>
    <w:basedOn w:val="21"/>
    <w:qFormat/>
    <w:uiPriority w:val="0"/>
    <w:rPr>
      <w:color w:val="4F81BD" w:themeColor="accent1"/>
    </w:rPr>
  </w:style>
  <w:style w:type="character" w:customStyle="1" w:styleId="21">
    <w:name w:val="Body Text Char"/>
    <w:basedOn w:val="19"/>
    <w:link w:val="3"/>
    <w:qFormat/>
    <w:uiPriority w:val="0"/>
  </w:style>
  <w:style w:type="character" w:styleId="22">
    <w:name w:val="footnote reference"/>
    <w:basedOn w:val="21"/>
    <w:qFormat/>
    <w:uiPriority w:val="0"/>
    <w:rPr>
      <w:vertAlign w:val="superscript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paragraph" w:customStyle="1" w:styleId="25">
    <w:name w:val="Author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customStyle="1" w:styleId="26">
    <w:name w:val="Abstract"/>
    <w:basedOn w:val="1"/>
    <w:next w:val="3"/>
    <w:qFormat/>
    <w:uiPriority w:val="0"/>
    <w:pPr>
      <w:keepNext/>
      <w:keepLines/>
      <w:spacing w:before="300" w:after="300"/>
    </w:pPr>
    <w:rPr>
      <w:sz w:val="20"/>
      <w:szCs w:val="20"/>
    </w:rPr>
  </w:style>
  <w:style w:type="paragraph" w:customStyle="1" w:styleId="27">
    <w:name w:val="Bibliography"/>
    <w:basedOn w:val="1"/>
    <w:qFormat/>
    <w:uiPriority w:val="0"/>
  </w:style>
  <w:style w:type="table" w:customStyle="1" w:styleId="28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9">
    <w:name w:val="Definition Term"/>
    <w:basedOn w:val="1"/>
    <w:next w:val="30"/>
    <w:qFormat/>
    <w:uiPriority w:val="0"/>
    <w:pPr>
      <w:keepNext/>
      <w:keepLines/>
      <w:spacing w:after="0"/>
    </w:pPr>
    <w:rPr>
      <w:b/>
    </w:rPr>
  </w:style>
  <w:style w:type="paragraph" w:customStyle="1" w:styleId="30">
    <w:name w:val="Definition"/>
    <w:basedOn w:val="1"/>
    <w:qFormat/>
    <w:uiPriority w:val="0"/>
  </w:style>
  <w:style w:type="paragraph" w:customStyle="1" w:styleId="31">
    <w:name w:val="Table Caption"/>
    <w:basedOn w:val="12"/>
    <w:qFormat/>
    <w:uiPriority w:val="0"/>
    <w:pPr>
      <w:keepNext/>
    </w:pPr>
  </w:style>
  <w:style w:type="paragraph" w:customStyle="1" w:styleId="32">
    <w:name w:val="Image Caption"/>
    <w:basedOn w:val="12"/>
    <w:qFormat/>
    <w:uiPriority w:val="0"/>
  </w:style>
  <w:style w:type="paragraph" w:customStyle="1" w:styleId="33">
    <w:name w:val="Figure"/>
    <w:basedOn w:val="1"/>
    <w:qFormat/>
    <w:uiPriority w:val="0"/>
  </w:style>
  <w:style w:type="paragraph" w:customStyle="1" w:styleId="34">
    <w:name w:val="Captioned Figure"/>
    <w:basedOn w:val="33"/>
    <w:qFormat/>
    <w:uiPriority w:val="0"/>
    <w:pPr>
      <w:keepNext/>
    </w:pPr>
  </w:style>
  <w:style w:type="character" w:customStyle="1" w:styleId="35">
    <w:name w:val="Verbatim Char"/>
    <w:basedOn w:val="21"/>
    <w:link w:val="36"/>
    <w:qFormat/>
    <w:uiPriority w:val="0"/>
    <w:rPr>
      <w:rFonts w:ascii="Consolas" w:hAnsi="Consolas"/>
      <w:sz w:val="22"/>
    </w:rPr>
  </w:style>
  <w:style w:type="paragraph" w:customStyle="1" w:styleId="36">
    <w:name w:val="Source Code"/>
    <w:basedOn w:val="1"/>
    <w:link w:val="35"/>
    <w:qFormat/>
    <w:uiPriority w:val="0"/>
    <w:pPr>
      <w:wordWrap w:val="0"/>
    </w:pPr>
  </w:style>
  <w:style w:type="paragraph" w:customStyle="1" w:styleId="37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66091" w:themeColor="accent1" w:themeShade="BF"/>
    </w:rPr>
  </w:style>
  <w:style w:type="character" w:customStyle="1" w:styleId="38">
    <w:name w:val="KeywordTok"/>
    <w:basedOn w:val="35"/>
    <w:qFormat/>
    <w:uiPriority w:val="0"/>
    <w:rPr>
      <w:b/>
      <w:color w:val="007020"/>
    </w:rPr>
  </w:style>
  <w:style w:type="character" w:customStyle="1" w:styleId="39">
    <w:name w:val="DataTypeTok"/>
    <w:basedOn w:val="35"/>
    <w:qFormat/>
    <w:uiPriority w:val="0"/>
    <w:rPr>
      <w:color w:val="902000"/>
    </w:rPr>
  </w:style>
  <w:style w:type="character" w:customStyle="1" w:styleId="40">
    <w:name w:val="DecValTok"/>
    <w:basedOn w:val="35"/>
    <w:qFormat/>
    <w:uiPriority w:val="0"/>
    <w:rPr>
      <w:color w:val="40A070"/>
    </w:rPr>
  </w:style>
  <w:style w:type="character" w:customStyle="1" w:styleId="41">
    <w:name w:val="BaseNTok"/>
    <w:basedOn w:val="35"/>
    <w:qFormat/>
    <w:uiPriority w:val="0"/>
    <w:rPr>
      <w:color w:val="40A070"/>
    </w:rPr>
  </w:style>
  <w:style w:type="character" w:customStyle="1" w:styleId="42">
    <w:name w:val="FloatTok"/>
    <w:basedOn w:val="35"/>
    <w:qFormat/>
    <w:uiPriority w:val="0"/>
    <w:rPr>
      <w:color w:val="40A070"/>
    </w:rPr>
  </w:style>
  <w:style w:type="character" w:customStyle="1" w:styleId="43">
    <w:name w:val="ConstantTok"/>
    <w:basedOn w:val="35"/>
    <w:qFormat/>
    <w:uiPriority w:val="0"/>
    <w:rPr>
      <w:color w:val="880000"/>
    </w:rPr>
  </w:style>
  <w:style w:type="character" w:customStyle="1" w:styleId="44">
    <w:name w:val="CharTok"/>
    <w:basedOn w:val="35"/>
    <w:qFormat/>
    <w:uiPriority w:val="0"/>
    <w:rPr>
      <w:color w:val="4070A0"/>
    </w:rPr>
  </w:style>
  <w:style w:type="character" w:customStyle="1" w:styleId="45">
    <w:name w:val="SpecialCharTok"/>
    <w:basedOn w:val="35"/>
    <w:qFormat/>
    <w:uiPriority w:val="0"/>
    <w:rPr>
      <w:color w:val="4070A0"/>
    </w:rPr>
  </w:style>
  <w:style w:type="character" w:customStyle="1" w:styleId="46">
    <w:name w:val="StringTok"/>
    <w:basedOn w:val="35"/>
    <w:qFormat/>
    <w:uiPriority w:val="0"/>
    <w:rPr>
      <w:color w:val="4070A0"/>
    </w:rPr>
  </w:style>
  <w:style w:type="character" w:customStyle="1" w:styleId="47">
    <w:name w:val="VerbatimStringTok"/>
    <w:basedOn w:val="35"/>
    <w:qFormat/>
    <w:uiPriority w:val="0"/>
    <w:rPr>
      <w:color w:val="4070A0"/>
    </w:rPr>
  </w:style>
  <w:style w:type="character" w:customStyle="1" w:styleId="48">
    <w:name w:val="SpecialStringTok"/>
    <w:basedOn w:val="35"/>
    <w:qFormat/>
    <w:uiPriority w:val="0"/>
    <w:rPr>
      <w:color w:val="BB6688"/>
    </w:rPr>
  </w:style>
  <w:style w:type="character" w:customStyle="1" w:styleId="49">
    <w:name w:val="ImportTok"/>
    <w:basedOn w:val="35"/>
    <w:qFormat/>
    <w:uiPriority w:val="0"/>
  </w:style>
  <w:style w:type="character" w:customStyle="1" w:styleId="50">
    <w:name w:val="CommentTok"/>
    <w:basedOn w:val="35"/>
    <w:qFormat/>
    <w:uiPriority w:val="0"/>
    <w:rPr>
      <w:i/>
      <w:color w:val="60A0B0"/>
    </w:rPr>
  </w:style>
  <w:style w:type="character" w:customStyle="1" w:styleId="51">
    <w:name w:val="DocumentationTok"/>
    <w:basedOn w:val="35"/>
    <w:qFormat/>
    <w:uiPriority w:val="0"/>
    <w:rPr>
      <w:i/>
      <w:color w:val="BA2121"/>
    </w:rPr>
  </w:style>
  <w:style w:type="character" w:customStyle="1" w:styleId="52">
    <w:name w:val="AnnotationTok"/>
    <w:basedOn w:val="35"/>
    <w:qFormat/>
    <w:uiPriority w:val="0"/>
    <w:rPr>
      <w:b/>
      <w:i/>
      <w:color w:val="60A0B0"/>
    </w:rPr>
  </w:style>
  <w:style w:type="character" w:customStyle="1" w:styleId="53">
    <w:name w:val="CommentVarTok"/>
    <w:basedOn w:val="35"/>
    <w:qFormat/>
    <w:uiPriority w:val="0"/>
    <w:rPr>
      <w:b/>
      <w:i/>
      <w:color w:val="60A0B0"/>
    </w:rPr>
  </w:style>
  <w:style w:type="character" w:customStyle="1" w:styleId="54">
    <w:name w:val="OtherTok"/>
    <w:basedOn w:val="35"/>
    <w:qFormat/>
    <w:uiPriority w:val="0"/>
    <w:rPr>
      <w:color w:val="007020"/>
    </w:rPr>
  </w:style>
  <w:style w:type="character" w:customStyle="1" w:styleId="55">
    <w:name w:val="FunctionTok"/>
    <w:basedOn w:val="35"/>
    <w:qFormat/>
    <w:uiPriority w:val="0"/>
    <w:rPr>
      <w:color w:val="06287E"/>
    </w:rPr>
  </w:style>
  <w:style w:type="character" w:customStyle="1" w:styleId="56">
    <w:name w:val="VariableTok"/>
    <w:basedOn w:val="35"/>
    <w:qFormat/>
    <w:uiPriority w:val="0"/>
    <w:rPr>
      <w:color w:val="19177C"/>
    </w:rPr>
  </w:style>
  <w:style w:type="character" w:customStyle="1" w:styleId="57">
    <w:name w:val="ControlFlowTok"/>
    <w:basedOn w:val="35"/>
    <w:qFormat/>
    <w:uiPriority w:val="0"/>
    <w:rPr>
      <w:b/>
      <w:color w:val="007020"/>
    </w:rPr>
  </w:style>
  <w:style w:type="character" w:customStyle="1" w:styleId="58">
    <w:name w:val="OperatorTok"/>
    <w:basedOn w:val="35"/>
    <w:qFormat/>
    <w:uiPriority w:val="0"/>
    <w:rPr>
      <w:color w:val="666666"/>
    </w:rPr>
  </w:style>
  <w:style w:type="character" w:customStyle="1" w:styleId="59">
    <w:name w:val="BuiltInTok"/>
    <w:basedOn w:val="35"/>
    <w:qFormat/>
    <w:uiPriority w:val="0"/>
  </w:style>
  <w:style w:type="character" w:customStyle="1" w:styleId="60">
    <w:name w:val="ExtensionTok"/>
    <w:basedOn w:val="35"/>
    <w:qFormat/>
    <w:uiPriority w:val="0"/>
  </w:style>
  <w:style w:type="character" w:customStyle="1" w:styleId="61">
    <w:name w:val="PreprocessorTok"/>
    <w:basedOn w:val="35"/>
    <w:qFormat/>
    <w:uiPriority w:val="0"/>
    <w:rPr>
      <w:color w:val="BC7A00"/>
    </w:rPr>
  </w:style>
  <w:style w:type="character" w:customStyle="1" w:styleId="62">
    <w:name w:val="AttributeTok"/>
    <w:basedOn w:val="35"/>
    <w:qFormat/>
    <w:uiPriority w:val="0"/>
    <w:rPr>
      <w:color w:val="7D9029"/>
    </w:rPr>
  </w:style>
  <w:style w:type="character" w:customStyle="1" w:styleId="63">
    <w:name w:val="RegionMarkerTok"/>
    <w:basedOn w:val="35"/>
    <w:uiPriority w:val="0"/>
  </w:style>
  <w:style w:type="character" w:customStyle="1" w:styleId="64">
    <w:name w:val="InformationTok"/>
    <w:basedOn w:val="35"/>
    <w:qFormat/>
    <w:uiPriority w:val="0"/>
    <w:rPr>
      <w:b/>
      <w:i/>
      <w:color w:val="60A0B0"/>
    </w:rPr>
  </w:style>
  <w:style w:type="character" w:customStyle="1" w:styleId="65">
    <w:name w:val="WarningTok"/>
    <w:basedOn w:val="35"/>
    <w:qFormat/>
    <w:uiPriority w:val="0"/>
    <w:rPr>
      <w:b/>
      <w:i/>
      <w:color w:val="60A0B0"/>
    </w:rPr>
  </w:style>
  <w:style w:type="character" w:customStyle="1" w:styleId="66">
    <w:name w:val="AlertTok"/>
    <w:basedOn w:val="35"/>
    <w:uiPriority w:val="0"/>
    <w:rPr>
      <w:b/>
      <w:color w:val="FF0000"/>
    </w:rPr>
  </w:style>
  <w:style w:type="character" w:customStyle="1" w:styleId="67">
    <w:name w:val="ErrorTok"/>
    <w:basedOn w:val="35"/>
    <w:uiPriority w:val="0"/>
    <w:rPr>
      <w:b/>
      <w:color w:val="FF0000"/>
    </w:rPr>
  </w:style>
  <w:style w:type="character" w:customStyle="1" w:styleId="68">
    <w:name w:val="NormalTok"/>
    <w:basedOn w:val="35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779</Words>
  <Characters>812</Characters>
  <Lines>12</Lines>
  <Paragraphs>8</Paragraphs>
  <TotalTime>16</TotalTime>
  <ScaleCrop>false</ScaleCrop>
  <LinksUpToDate>false</LinksUpToDate>
  <CharactersWithSpaces>814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2026-11-02T06:42:00Z</dcterms:created>
  <dc:creator>徐</dc:creator>
  <cp:lastModifiedBy>徐</cp:lastModifiedBy>
  <cp:lastPrinted>2026-11-03T06:10:30Z</cp:lastPrinted>
  <dcterms:modified xsi:type="dcterms:W3CDTF">2026-11-03T06:21:50Z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eyJoZGlkIjoiYjM0YjYyYjJhMTU1ZWU4OGQ2NGVhYmIwMGRmYzVjMDUiLCJ1c2VySWQiOiI0MjMwMjk2MDcifQ==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1570ABA27DB74D11B456148DFF35532B_12</vt:lpwstr>
  </property>
</Properties>
</file>